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Казенное учреждение ХМАО – </w:t>
      </w:r>
      <w:proofErr w:type="spellStart"/>
      <w:r w:rsidRPr="008078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Югра</w:t>
      </w:r>
      <w:proofErr w:type="spellEnd"/>
      <w:r w:rsidRPr="008078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 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 xml:space="preserve">«Урайский специализированный </w:t>
      </w:r>
      <w:r w:rsidR="007D1DB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Д</w:t>
      </w:r>
      <w:r w:rsidRPr="008078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ом ребенка»</w:t>
      </w:r>
    </w:p>
    <w:p w:rsidR="00807845" w:rsidRDefault="00807845" w:rsidP="0080784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807845" w:rsidRDefault="00807845" w:rsidP="0080784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Пояснительная записка к учебному плану</w:t>
      </w:r>
    </w:p>
    <w:p w:rsidR="00807845" w:rsidRDefault="00807845" w:rsidP="0080784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на 2017-2018 учебный год</w:t>
      </w:r>
    </w:p>
    <w:p w:rsidR="00807845" w:rsidRDefault="00807845" w:rsidP="00807845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План организации непосредственно образовательной деятельности составлен в строгом соответствии с нормативными документами, регламентирующими деятельность дошкольных образовательных учреждений:</w:t>
      </w:r>
    </w:p>
    <w:p w:rsidR="00807845" w:rsidRPr="00807845" w:rsidRDefault="00807845" w:rsidP="0080784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Закон Российской Федерации от 29.12.2012 «Об образовании»;</w:t>
      </w:r>
    </w:p>
    <w:p w:rsidR="00807845" w:rsidRPr="00807845" w:rsidRDefault="00807845" w:rsidP="0080784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Постановление Главного государственного санитарного врача Российской Федерации от 19 декабря 2013 г. N 68 «Об утверждении </w:t>
      </w:r>
      <w:proofErr w:type="spellStart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СанПиН</w:t>
      </w:r>
      <w:proofErr w:type="spellEnd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2.4.1.3147-13 «Санитарно эпидемиологических требований к устройству, содержанию и организации режима работы дошкольных образовательных организаций»;</w:t>
      </w:r>
    </w:p>
    <w:p w:rsidR="00807845" w:rsidRPr="00807845" w:rsidRDefault="00807845" w:rsidP="0080784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Приказ </w:t>
      </w:r>
      <w:proofErr w:type="spellStart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Минобрнауки</w:t>
      </w:r>
      <w:proofErr w:type="spellEnd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РФ №1155 от17.10.2013 г. </w:t>
      </w:r>
      <w:r w:rsidR="00980828">
        <w:rPr>
          <w:rFonts w:ascii="Times New Roman" w:eastAsia="Times New Roman" w:hAnsi="Times New Roman" w:cs="Times New Roman"/>
          <w:color w:val="373737"/>
          <w:sz w:val="28"/>
          <w:szCs w:val="28"/>
        </w:rPr>
        <w:t>«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Об утверждении федерального государственного образовательного стандарта дошкольного образования</w:t>
      </w:r>
      <w:proofErr w:type="gramStart"/>
      <w:r w:rsidR="00980828">
        <w:rPr>
          <w:rFonts w:ascii="Times New Roman" w:eastAsia="Times New Roman" w:hAnsi="Times New Roman" w:cs="Times New Roman"/>
          <w:color w:val="373737"/>
          <w:sz w:val="28"/>
          <w:szCs w:val="28"/>
        </w:rPr>
        <w:t>»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(</w:t>
      </w:r>
      <w:proofErr w:type="gramEnd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Зарегистрировано в Минюсте России 14.11.2013 № 30384);</w:t>
      </w:r>
    </w:p>
    <w:p w:rsidR="00807845" w:rsidRPr="00807845" w:rsidRDefault="00807845" w:rsidP="0080784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Приказ </w:t>
      </w:r>
      <w:proofErr w:type="spellStart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Минобрнауки</w:t>
      </w:r>
      <w:proofErr w:type="spellEnd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РФ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07845" w:rsidRPr="00807845" w:rsidRDefault="00807845" w:rsidP="0080784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Положение о лицензировании образовательной деятельности, постановлением Правительства Российской Федерации от 31.03.2009 № 277.</w:t>
      </w:r>
    </w:p>
    <w:p w:rsidR="00807845" w:rsidRPr="00807845" w:rsidRDefault="00807845" w:rsidP="00807845">
      <w:pPr>
        <w:numPr>
          <w:ilvl w:val="0"/>
          <w:numId w:val="9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Письмо «Комментарии к ФГОС дошкольного образования» Министерства образования и науки Российской Федерации от 28.02.2014 г. № 08-249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Учебный план на 201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7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– 201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8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учебного времени, отводимого на проведение непосредственно образовательной деятельности.</w:t>
      </w:r>
    </w:p>
    <w:p w:rsid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Учебный год начинается с 1 сентября и заканчивается 31 мая.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Урайский специализированный Дом ребенка работает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круглосуточного пребывания, 24-часового  рабочего дня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proofErr w:type="gramStart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7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8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г. функционирует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8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разновозрастных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групп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>, в каждой из которых проживают дети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младенческ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возраст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 2 месяцев до года, 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первой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групп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раннего возраста с 1 года до 2 лет, 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втор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групп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раннего возраста с 2 лет до 3 лет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>, дети младшей груп</w:t>
      </w:r>
      <w:r w:rsidR="00B53320">
        <w:rPr>
          <w:rFonts w:ascii="Times New Roman" w:eastAsia="Times New Roman" w:hAnsi="Times New Roman" w:cs="Times New Roman"/>
          <w:color w:val="373737"/>
          <w:sz w:val="28"/>
          <w:szCs w:val="28"/>
        </w:rPr>
        <w:t>пы в возрасте от 3 лет до 4 лет</w:t>
      </w:r>
      <w:r w:rsidR="00F50C87">
        <w:rPr>
          <w:rFonts w:ascii="Times New Roman" w:eastAsia="Times New Roman" w:hAnsi="Times New Roman" w:cs="Times New Roman"/>
          <w:color w:val="373737"/>
          <w:sz w:val="28"/>
          <w:szCs w:val="28"/>
        </w:rPr>
        <w:t>, дети средней группы в возрасте от 4</w:t>
      </w:r>
      <w:proofErr w:type="gramEnd"/>
      <w:r w:rsidR="00F50C87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лет до 5 лет (в исключительных случаях)</w:t>
      </w:r>
      <w:r w:rsidR="00FD07E2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807845" w:rsidRPr="00807845" w:rsidRDefault="00B53320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Образовательная деятельность в Доме ребенка осуществляется в соответствии с Адаптированной основной образовательной программой, разработанной на основе </w:t>
      </w:r>
      <w:r w:rsidR="00807845"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="00807845"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Вераксы</w:t>
      </w:r>
      <w:proofErr w:type="spellEnd"/>
      <w:r w:rsidR="00807845"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Т.С. 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Учебный план соответствует Уставу 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>КУ «Урайский специализированный Дом ребенка»</w:t>
      </w:r>
      <w:r w:rsidR="00807845"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</w:t>
      </w:r>
      <w:proofErr w:type="gramStart"/>
      <w:r w:rsidR="00807845"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общеобразовательной</w:t>
      </w:r>
      <w:proofErr w:type="gramEnd"/>
      <w:r w:rsidR="00807845"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и парциальным программам, обеспечивая выполнение требований к содержанию и методам воспитания и обучения, гарантирует ребенку получение комплекса образовательных услуг.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В структуре учебного плана выделяются инвариантная и вариативная часть.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В соответствии с требованиями основной 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 xml:space="preserve">Содержание педагогической работы по освоению детьми образовательных областей 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>«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Физическое развитие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>»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>«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Познавательное развитие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>»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>«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Социально-коммуникативное развитие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>»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, 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>«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Художественно-эстетическое развитие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>»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, «Речевое развитие»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 и отражены в календарном планировании.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При составлении учебного плана учитывались следующие </w:t>
      </w:r>
      <w:r w:rsidRPr="0080784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принципы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:</w:t>
      </w:r>
    </w:p>
    <w:p w:rsidR="00807845" w:rsidRPr="00807845" w:rsidRDefault="00807845" w:rsidP="00807845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807845" w:rsidRPr="00807845" w:rsidRDefault="00807845" w:rsidP="00807845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принцип научной обоснованности и практической применимости;</w:t>
      </w:r>
    </w:p>
    <w:p w:rsidR="00807845" w:rsidRPr="00807845" w:rsidRDefault="00807845" w:rsidP="00807845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принцип соответствия критериям полноты, необходимости и достаточности;</w:t>
      </w:r>
    </w:p>
    <w:p w:rsidR="00807845" w:rsidRPr="00807845" w:rsidRDefault="00807845" w:rsidP="00807845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807845" w:rsidRPr="00807845" w:rsidRDefault="00807845" w:rsidP="00807845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07845" w:rsidRPr="00807845" w:rsidRDefault="00807845" w:rsidP="00807845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комплексно-тематический принцип построения образовательного процесса;</w:t>
      </w:r>
    </w:p>
    <w:p w:rsidR="00807845" w:rsidRPr="00807845" w:rsidRDefault="00807845" w:rsidP="00807845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07845" w:rsidRPr="00807845" w:rsidRDefault="00807845" w:rsidP="00807845">
      <w:pPr>
        <w:numPr>
          <w:ilvl w:val="0"/>
          <w:numId w:val="4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нормами и требованиями (</w:t>
      </w:r>
      <w:proofErr w:type="spellStart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СанПиН</w:t>
      </w:r>
      <w:proofErr w:type="spellEnd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2.4.1.3049-13)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>. Максимально допустимый объем недельной образовательной нагрузки определен для каждой возрастной группы: первая группа раннего возраста – 1 час 10 мин (10 занятий по 7 минут), вторая группа раннего возраста  - 1 час 40 мин (10 занятий по 10 минут), младшая группа  - 2 часа 30 мин (</w:t>
      </w:r>
      <w:r w:rsidR="00B732CB">
        <w:rPr>
          <w:rFonts w:ascii="Times New Roman" w:eastAsia="Times New Roman" w:hAnsi="Times New Roman" w:cs="Times New Roman"/>
          <w:color w:val="373737"/>
          <w:sz w:val="28"/>
          <w:szCs w:val="28"/>
        </w:rPr>
        <w:t>10 занятий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по 15 минут). 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Продолжительность непрерывной непосредственно образовательной деятельности: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- для детей от 2 до 3 лет – не более 10 минут,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- для детей от 3 до 4 лет – не более 15 минут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>.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Максимально допустимый объём образовательной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нагрузки в первой половине дня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не превышает 30 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минут. 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В середине времени, отведённого на организованную образовательную деятельность, проводятся физкультурные минутки.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Перерывы между периодами организованной образовательной деятельности – не менее 10 минут.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В середине каждой организованной образовательной деятельности проводится физкультминутка. Организованная образовательная деятельность (далее - ООД) оздоровительно-эстетического цикла занимает 50% общего времени ООД. Для профилактики утомления детей ООД, требующая повышенной познавательной активности и умственного </w:t>
      </w:r>
      <w:r w:rsidR="00B732CB">
        <w:rPr>
          <w:rFonts w:ascii="Times New Roman" w:eastAsia="Times New Roman" w:hAnsi="Times New Roman" w:cs="Times New Roman"/>
          <w:color w:val="373737"/>
          <w:sz w:val="28"/>
          <w:szCs w:val="28"/>
        </w:rPr>
        <w:t>напряжения, проводится в первую половину дня и дни наиболее высокой работоспособности детей (вторник и среда).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Образовательная деятельность с детьми младшего дошкольного возраста может осуществляться во второй половине дня после дневного сна. Её продолжительность составляет не более 15 мин. В середине организованной образовательной деятельности статического характера проводятся физкультурные минутки.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7D1DB0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Форма организации занятий с</w:t>
      </w:r>
      <w:r w:rsidR="007D1DB0" w:rsidRPr="007D1DB0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 xml:space="preserve"> </w:t>
      </w:r>
      <w:r w:rsidRPr="007D1DB0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 xml:space="preserve">2 до 3 лет (подгрупповые) с 3 до </w:t>
      </w:r>
      <w:r w:rsidR="007D1DB0" w:rsidRPr="007D1DB0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>4</w:t>
      </w:r>
      <w:r w:rsidRPr="007D1DB0">
        <w:rPr>
          <w:rFonts w:ascii="Times New Roman" w:eastAsia="Times New Roman" w:hAnsi="Times New Roman" w:cs="Times New Roman"/>
          <w:bCs/>
          <w:color w:val="373737"/>
          <w:sz w:val="28"/>
          <w:szCs w:val="28"/>
        </w:rPr>
        <w:t xml:space="preserve"> лет (фронтальные).</w:t>
      </w:r>
      <w:r w:rsidR="007D1DB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 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807845" w:rsidRPr="00807845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Организация жизнедеятельности предусматривает как организованные педагогами совместно с детьми (НОД, развлечения, кружки) формы детской деятельности, так и самостоятельную деятельность детей. </w:t>
      </w:r>
    </w:p>
    <w:p w:rsidR="0039026C" w:rsidRDefault="00807845" w:rsidP="0080784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План реализуется по пяти образовательным областям, обеспечивающим развитие личности, мотивации и способностей детей в различных видах деятельности:</w:t>
      </w:r>
    </w:p>
    <w:p w:rsidR="00807845" w:rsidRPr="00807845" w:rsidRDefault="00807845" w:rsidP="0039026C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I. Познавательное развитие: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</w:t>
      </w:r>
    </w:p>
    <w:p w:rsidR="00807845" w:rsidRPr="00807845" w:rsidRDefault="00807845" w:rsidP="00B732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II. Речевое развитие: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807845" w:rsidRPr="00807845" w:rsidRDefault="00807845" w:rsidP="00B732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III. Социально-коммуникативное развитие: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социализация, нравственное, трудовое воспитание, формирование основ безопасности.</w:t>
      </w:r>
    </w:p>
    <w:p w:rsidR="00807845" w:rsidRPr="00807845" w:rsidRDefault="00807845" w:rsidP="00B732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IV. Художественно –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эстетическое развитие: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приобщение к искусству, изобразительная деятельность, конструктивно- модельная деятельность, музыкальная деятельность.</w:t>
      </w:r>
    </w:p>
    <w:p w:rsidR="00807845" w:rsidRPr="007D1DB0" w:rsidRDefault="00807845" w:rsidP="00B732C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V. Физическое развитие: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>формирование начальных представлений о здоровом образе жизни, физическая культура.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Одна из трех ООД «Физическая культура» для воспитанников Дома ребенка проводится круглогодично на открытом воздухе.</w:t>
      </w:r>
    </w:p>
    <w:p w:rsidR="00807845" w:rsidRPr="00807845" w:rsidRDefault="00807845" w:rsidP="007D1D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На основе плана составлено расписание организованной образовательной деятельности, что способствует регуляции нагрузки, оптимальному чередованию различных видов деятельности,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предупреждению утомляемости.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В летний период учебные занятия не проводятся. В это время увеличивается продолжительность прогулок, а также проводятся спортивные и подвижные игры, спортивные праздники, экскурсии, занятия музыкально – эстетического цикла и др.</w:t>
      </w:r>
    </w:p>
    <w:p w:rsidR="00B53320" w:rsidRDefault="00807845" w:rsidP="007D1D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807845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Вариативная часть учебного плана,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 формируемая участниками образовательного процесса 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>КУ «</w:t>
      </w:r>
      <w:proofErr w:type="spellStart"/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>Урайский</w:t>
      </w:r>
      <w:proofErr w:type="spellEnd"/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специализированный Дом ребенка»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, обеспечи</w:t>
      </w:r>
      <w:r w:rsidR="007D1DB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вает вариативность образования 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и направлена на реализацию </w:t>
      </w:r>
      <w:r w:rsidRPr="00B53320">
        <w:rPr>
          <w:rFonts w:ascii="Times New Roman" w:eastAsia="Times New Roman" w:hAnsi="Times New Roman" w:cs="Times New Roman"/>
          <w:b/>
          <w:bCs/>
          <w:iCs/>
          <w:color w:val="373737"/>
          <w:sz w:val="28"/>
          <w:szCs w:val="28"/>
        </w:rPr>
        <w:t>парциальных программ,</w:t>
      </w:r>
      <w:r w:rsidRPr="00807845">
        <w:rPr>
          <w:rFonts w:ascii="Times New Roman" w:eastAsia="Times New Roman" w:hAnsi="Times New Roman" w:cs="Times New Roman"/>
          <w:b/>
          <w:bCs/>
          <w:i/>
          <w:iCs/>
          <w:color w:val="373737"/>
          <w:sz w:val="28"/>
          <w:szCs w:val="28"/>
        </w:rPr>
        <w:t> </w:t>
      </w:r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которые являются дополнением к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Вераксы</w:t>
      </w:r>
      <w:proofErr w:type="spellEnd"/>
      <w:r w:rsidRPr="00807845">
        <w:rPr>
          <w:rFonts w:ascii="Times New Roman" w:eastAsia="Times New Roman" w:hAnsi="Times New Roman" w:cs="Times New Roman"/>
          <w:color w:val="373737"/>
          <w:sz w:val="28"/>
          <w:szCs w:val="28"/>
        </w:rPr>
        <w:t>, Т.С. Комаровой, М.А.Васильевой. Вариативная часть составляет не более 40% от общей учебной нагрузки.</w:t>
      </w:r>
      <w:r w:rsidR="0039026C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B732CB" w:rsidRPr="00807845" w:rsidRDefault="00B732CB" w:rsidP="007D1DB0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B53320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Коррекционная работа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осуществляется учителем-дефектологом и педагогом-психологом в процессе индивидуального, подгруппового и фронтального взаимодействия.</w:t>
      </w:r>
    </w:p>
    <w:p w:rsidR="00755268" w:rsidRDefault="00755268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001" w:rsidRPr="00893001" w:rsidRDefault="00893001" w:rsidP="00F50C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3001">
        <w:rPr>
          <w:rFonts w:ascii="Times New Roman" w:hAnsi="Times New Roman" w:cs="Times New Roman"/>
          <w:b/>
          <w:sz w:val="24"/>
          <w:szCs w:val="28"/>
        </w:rPr>
        <w:lastRenderedPageBreak/>
        <w:t>Учебный план</w:t>
      </w:r>
    </w:p>
    <w:tbl>
      <w:tblPr>
        <w:tblStyle w:val="a6"/>
        <w:tblpPr w:leftFromText="180" w:rightFromText="180" w:vertAnchor="text" w:horzAnchor="margin" w:tblpXSpec="center" w:tblpY="342"/>
        <w:tblW w:w="0" w:type="auto"/>
        <w:tblLook w:val="04A0"/>
      </w:tblPr>
      <w:tblGrid>
        <w:gridCol w:w="2163"/>
        <w:gridCol w:w="2948"/>
        <w:gridCol w:w="1898"/>
        <w:gridCol w:w="797"/>
        <w:gridCol w:w="1765"/>
      </w:tblGrid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Виды образовательной деятельности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Образовательные компоненты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Образовательная программа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50C87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F50C87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Комментарии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К плану</w:t>
            </w: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893001" w:rsidRPr="00F50C87" w:rsidTr="00893001">
        <w:tc>
          <w:tcPr>
            <w:tcW w:w="9571" w:type="dxa"/>
            <w:gridSpan w:val="5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Возраст  2-12 мес.  Продолжительность занятий 5-7 минут</w:t>
            </w: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Совершенствование восприятия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Стимуляция зрения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Стимуляция звука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Стимуляция осязания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 xml:space="preserve">   В режимных моментах согласно плану педагога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Развитие движений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0C87">
              <w:rPr>
                <w:rFonts w:ascii="Times New Roman" w:hAnsi="Times New Roman" w:cs="Times New Roman"/>
                <w:sz w:val="20"/>
              </w:rPr>
              <w:t>Поэтапность</w:t>
            </w:r>
            <w:proofErr w:type="spellEnd"/>
            <w:r w:rsidRPr="00F50C87">
              <w:rPr>
                <w:rFonts w:ascii="Times New Roman" w:hAnsi="Times New Roman" w:cs="Times New Roman"/>
                <w:sz w:val="20"/>
              </w:rPr>
              <w:t xml:space="preserve"> в зависимости от возраста детей: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Удерживание головы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Развитие рук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Подготовка к ползанью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Подготовка к сидению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Подготовка к ходьбе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 xml:space="preserve">   В режимных моментах согласно плану педагога</w:t>
            </w: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Музыкальное воспитание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Восприятие музыки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Слуховое внимание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 xml:space="preserve">   В режимных моментах согласно плану педагога</w:t>
            </w: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Количество занятий  в неделю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В год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9571" w:type="dxa"/>
            <w:gridSpan w:val="5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 xml:space="preserve">Возраст (от года до двух лет)  </w:t>
            </w:r>
            <w:r w:rsidRPr="00F50C87">
              <w:rPr>
                <w:rFonts w:ascii="Times New Roman" w:hAnsi="Times New Roman" w:cs="Times New Roman"/>
                <w:sz w:val="20"/>
              </w:rPr>
              <w:t>длительность занятия 8-10 минут</w:t>
            </w: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Расширение ориентировки в окружающем и развитие речи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Понимание речи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Активная речь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Чтение худ</w:t>
            </w:r>
            <w:proofErr w:type="gramStart"/>
            <w:r w:rsidRPr="00F50C87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F50C87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gramStart"/>
            <w:r w:rsidRPr="00F50C87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F50C87">
              <w:rPr>
                <w:rFonts w:ascii="Times New Roman" w:hAnsi="Times New Roman" w:cs="Times New Roman"/>
                <w:sz w:val="20"/>
              </w:rPr>
              <w:t>итературы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144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Развитие движений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Ходьба и упражнения в равновесии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Ползание, лазание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Катание, бросание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Подвижные игры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Игры – занятия с дидактическим материалом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Сенсорное восприятие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Действие с предметами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Со строительным материалом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Знакомство с формами (кубик, кирпич и т.д.),   и природным материалом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 xml:space="preserve">Музыкальное 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Слушанье, пение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Образные  упражнения</w:t>
            </w:r>
          </w:p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Музыкально- ритмические  упражнения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93001" w:rsidRPr="00F50C87" w:rsidTr="00893001">
        <w:tc>
          <w:tcPr>
            <w:tcW w:w="2163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C87">
              <w:rPr>
                <w:rFonts w:ascii="Times New Roman" w:hAnsi="Times New Roman" w:cs="Times New Roman"/>
                <w:b/>
                <w:sz w:val="20"/>
              </w:rPr>
              <w:t>Количество занятий  в неделю</w:t>
            </w:r>
          </w:p>
        </w:tc>
        <w:tc>
          <w:tcPr>
            <w:tcW w:w="294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  <w:r w:rsidRPr="00F50C8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98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5" w:type="dxa"/>
          </w:tcPr>
          <w:p w:rsidR="00893001" w:rsidRPr="00F50C87" w:rsidRDefault="00893001" w:rsidP="0089300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93001" w:rsidRPr="00893001" w:rsidRDefault="00893001" w:rsidP="00893001">
      <w:pPr>
        <w:ind w:firstLine="708"/>
        <w:rPr>
          <w:b/>
          <w:sz w:val="20"/>
        </w:rPr>
      </w:pPr>
      <w:r w:rsidRPr="00893001">
        <w:rPr>
          <w:b/>
          <w:sz w:val="20"/>
        </w:rPr>
        <w:t xml:space="preserve">Зам гл. врача по УВР                                                                   Н.К. </w:t>
      </w:r>
      <w:proofErr w:type="spellStart"/>
      <w:r w:rsidRPr="00893001">
        <w:rPr>
          <w:b/>
          <w:sz w:val="20"/>
        </w:rPr>
        <w:t>Лишанкова</w:t>
      </w:r>
      <w:proofErr w:type="spellEnd"/>
    </w:p>
    <w:p w:rsidR="00893001" w:rsidRPr="00893001" w:rsidRDefault="00893001" w:rsidP="00893001">
      <w:pPr>
        <w:ind w:firstLine="708"/>
        <w:rPr>
          <w:b/>
          <w:sz w:val="20"/>
        </w:rPr>
      </w:pPr>
    </w:p>
    <w:p w:rsidR="00893001" w:rsidRPr="00893001" w:rsidRDefault="00893001" w:rsidP="008078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893001" w:rsidRPr="00893001" w:rsidSect="008930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936"/>
    <w:multiLevelType w:val="multilevel"/>
    <w:tmpl w:val="59B0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0456"/>
    <w:multiLevelType w:val="multilevel"/>
    <w:tmpl w:val="1922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36AB3"/>
    <w:multiLevelType w:val="multilevel"/>
    <w:tmpl w:val="4462F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A2643"/>
    <w:multiLevelType w:val="multilevel"/>
    <w:tmpl w:val="2E6A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33A36"/>
    <w:multiLevelType w:val="multilevel"/>
    <w:tmpl w:val="B05C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2020D"/>
    <w:multiLevelType w:val="multilevel"/>
    <w:tmpl w:val="CEEC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21143"/>
    <w:multiLevelType w:val="multilevel"/>
    <w:tmpl w:val="B546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57A1E"/>
    <w:multiLevelType w:val="multilevel"/>
    <w:tmpl w:val="44F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0027D"/>
    <w:multiLevelType w:val="hybridMultilevel"/>
    <w:tmpl w:val="4AFCF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9600F4"/>
    <w:multiLevelType w:val="multilevel"/>
    <w:tmpl w:val="9CB0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7845"/>
    <w:rsid w:val="001F5A2E"/>
    <w:rsid w:val="00326EE0"/>
    <w:rsid w:val="0039026C"/>
    <w:rsid w:val="00572BE4"/>
    <w:rsid w:val="00755268"/>
    <w:rsid w:val="007D1DB0"/>
    <w:rsid w:val="00807845"/>
    <w:rsid w:val="00893001"/>
    <w:rsid w:val="00941CA6"/>
    <w:rsid w:val="00980828"/>
    <w:rsid w:val="00B53320"/>
    <w:rsid w:val="00B732CB"/>
    <w:rsid w:val="00B81913"/>
    <w:rsid w:val="00F50C87"/>
    <w:rsid w:val="00FD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7845"/>
    <w:rPr>
      <w:b/>
      <w:bCs/>
    </w:rPr>
  </w:style>
  <w:style w:type="paragraph" w:styleId="a5">
    <w:name w:val="List Paragraph"/>
    <w:basedOn w:val="a"/>
    <w:uiPriority w:val="34"/>
    <w:qFormat/>
    <w:rsid w:val="007D1DB0"/>
    <w:pPr>
      <w:ind w:left="720"/>
      <w:contextualSpacing/>
    </w:pPr>
  </w:style>
  <w:style w:type="table" w:styleId="a6">
    <w:name w:val="Table Grid"/>
    <w:basedOn w:val="a1"/>
    <w:uiPriority w:val="59"/>
    <w:rsid w:val="008930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Кириловна</cp:lastModifiedBy>
  <cp:revision>7</cp:revision>
  <cp:lastPrinted>2018-05-17T12:11:00Z</cp:lastPrinted>
  <dcterms:created xsi:type="dcterms:W3CDTF">2018-05-17T11:57:00Z</dcterms:created>
  <dcterms:modified xsi:type="dcterms:W3CDTF">2018-06-27T10:01:00Z</dcterms:modified>
</cp:coreProperties>
</file>